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3486" w14:textId="251E7ABD" w:rsidR="00134F12" w:rsidRPr="00DF5C0D" w:rsidRDefault="00134F12" w:rsidP="0093724C">
      <w:pPr>
        <w:spacing w:line="360" w:lineRule="auto"/>
        <w:contextualSpacing/>
        <w:jc w:val="center"/>
        <w:rPr>
          <w:rFonts w:cs="Times New Roman"/>
          <w:b/>
          <w:color w:val="000000" w:themeColor="text1"/>
          <w:szCs w:val="24"/>
        </w:rPr>
      </w:pPr>
      <w:r w:rsidRPr="00DF5C0D">
        <w:rPr>
          <w:rFonts w:cs="Times New Roman"/>
          <w:b/>
          <w:color w:val="000000" w:themeColor="text1"/>
          <w:szCs w:val="24"/>
        </w:rPr>
        <w:t xml:space="preserve">PENNSYLVANIA MILK </w:t>
      </w:r>
      <w:bookmarkStart w:id="0" w:name="_GoBack"/>
      <w:bookmarkEnd w:id="0"/>
      <w:r w:rsidRPr="00DF5C0D">
        <w:rPr>
          <w:rFonts w:cs="Times New Roman"/>
          <w:b/>
          <w:color w:val="000000" w:themeColor="text1"/>
          <w:szCs w:val="24"/>
        </w:rPr>
        <w:t xml:space="preserve">BOARD </w:t>
      </w:r>
    </w:p>
    <w:p w14:paraId="70181711" w14:textId="0DEEEFF7" w:rsidR="008C260B" w:rsidRPr="00DF5C0D" w:rsidRDefault="00134F12" w:rsidP="0093724C">
      <w:pPr>
        <w:spacing w:line="360" w:lineRule="auto"/>
        <w:contextualSpacing/>
        <w:jc w:val="center"/>
        <w:rPr>
          <w:rFonts w:cs="Times New Roman"/>
          <w:b/>
          <w:color w:val="000000" w:themeColor="text1"/>
          <w:szCs w:val="24"/>
        </w:rPr>
      </w:pPr>
      <w:r w:rsidRPr="00DF5C0D">
        <w:rPr>
          <w:rFonts w:cs="Times New Roman"/>
          <w:b/>
          <w:color w:val="000000" w:themeColor="text1"/>
          <w:szCs w:val="24"/>
        </w:rPr>
        <w:t>PROPOSED AMENDMENTS TO 7 PA. CODE CHAPTER 150</w:t>
      </w:r>
    </w:p>
    <w:p w14:paraId="22788B1C" w14:textId="2F89C6FE" w:rsidR="0093724C" w:rsidRPr="00DF5C0D" w:rsidRDefault="0093724C" w:rsidP="0093724C">
      <w:pPr>
        <w:spacing w:line="360" w:lineRule="auto"/>
        <w:contextualSpacing/>
        <w:jc w:val="center"/>
        <w:rPr>
          <w:rFonts w:cs="Times New Roman"/>
          <w:b/>
          <w:color w:val="000000" w:themeColor="text1"/>
          <w:szCs w:val="24"/>
        </w:rPr>
      </w:pPr>
    </w:p>
    <w:p w14:paraId="53A3BEC9" w14:textId="77777777" w:rsidR="00F32CCF" w:rsidRPr="00DF5C0D" w:rsidRDefault="00F32CCF" w:rsidP="0093724C">
      <w:pPr>
        <w:spacing w:line="360" w:lineRule="auto"/>
        <w:contextualSpacing/>
        <w:jc w:val="center"/>
        <w:rPr>
          <w:rFonts w:cs="Times New Roman"/>
          <w:b/>
          <w:color w:val="000000" w:themeColor="text1"/>
          <w:szCs w:val="24"/>
        </w:rPr>
      </w:pPr>
    </w:p>
    <w:p w14:paraId="7B67167D" w14:textId="7511F583" w:rsidR="006061FE" w:rsidRDefault="00F32CCF" w:rsidP="00F32CCF">
      <w:pPr>
        <w:spacing w:before="100" w:beforeAutospacing="1" w:after="100" w:afterAutospacing="1" w:line="240" w:lineRule="auto"/>
        <w:jc w:val="center"/>
        <w:outlineLvl w:val="3"/>
        <w:rPr>
          <w:rFonts w:cs="Times New Roman"/>
          <w:b/>
          <w:bCs/>
          <w:color w:val="000000" w:themeColor="text1"/>
          <w:szCs w:val="24"/>
        </w:rPr>
      </w:pPr>
      <w:r w:rsidRPr="00DF5C0D">
        <w:rPr>
          <w:rFonts w:cs="Times New Roman"/>
          <w:b/>
          <w:bCs/>
          <w:color w:val="000000" w:themeColor="text1"/>
          <w:szCs w:val="24"/>
        </w:rPr>
        <w:t>LICENSE FEES OF MILK DEALERS</w:t>
      </w:r>
    </w:p>
    <w:p w14:paraId="1332BF12" w14:textId="77777777" w:rsidR="001F296B" w:rsidRPr="00DF5C0D" w:rsidRDefault="001F296B" w:rsidP="001F296B">
      <w:pPr>
        <w:pStyle w:val="NormalWeb"/>
        <w:jc w:val="center"/>
        <w:rPr>
          <w:color w:val="000000" w:themeColor="text1"/>
        </w:rPr>
      </w:pPr>
      <w:r w:rsidRPr="00DF5C0D">
        <w:rPr>
          <w:color w:val="000000" w:themeColor="text1"/>
        </w:rPr>
        <w:t>*****</w:t>
      </w:r>
    </w:p>
    <w:p w14:paraId="6405E41D" w14:textId="77777777" w:rsidR="00134F12" w:rsidRPr="00DF5C0D" w:rsidRDefault="00134F12" w:rsidP="00134F12">
      <w:pPr>
        <w:pStyle w:val="Heading4"/>
        <w:rPr>
          <w:color w:val="000000" w:themeColor="text1"/>
        </w:rPr>
      </w:pPr>
      <w:bookmarkStart w:id="1" w:name="150.12."/>
      <w:r w:rsidRPr="00DF5C0D">
        <w:rPr>
          <w:color w:val="000000" w:themeColor="text1"/>
        </w:rPr>
        <w:t>§ 150.12. Hundredweight fees.</w:t>
      </w:r>
    </w:p>
    <w:p w14:paraId="510D1595" w14:textId="77777777" w:rsidR="00134F12" w:rsidRPr="00DF5C0D" w:rsidRDefault="00134F12" w:rsidP="00F32CCF">
      <w:pPr>
        <w:pStyle w:val="NormalWeb"/>
        <w:jc w:val="both"/>
        <w:rPr>
          <w:color w:val="000000" w:themeColor="text1"/>
        </w:rPr>
      </w:pPr>
      <w:r w:rsidRPr="00DF5C0D">
        <w:rPr>
          <w:color w:val="000000" w:themeColor="text1"/>
        </w:rPr>
        <w:t xml:space="preserve"> (a)  In addition to the fixed fee imposed under §  150.11 (relating to fixed fees), a milk dealer that was licensed for the entire calendar year preceding license renewal shall pay an annual hundredweight fee as set forth in paragraphs (1) and (2). </w:t>
      </w:r>
    </w:p>
    <w:p w14:paraId="7E01E84A" w14:textId="28D528A0" w:rsidR="00134F12" w:rsidRPr="00DF5C0D" w:rsidRDefault="00134F12" w:rsidP="00F32CCF">
      <w:pPr>
        <w:pStyle w:val="NormalWeb"/>
        <w:jc w:val="both"/>
        <w:rPr>
          <w:color w:val="000000" w:themeColor="text1"/>
        </w:rPr>
      </w:pPr>
      <w:r w:rsidRPr="00DF5C0D">
        <w:rPr>
          <w:color w:val="000000" w:themeColor="text1"/>
        </w:rPr>
        <w:t>   (1)  For milk for which the Board has fixed a minimum wholesale or retail price, received, produced or brought into this Commonwealth during the calendar year preceding the period for which the license is issued, the fee is</w:t>
      </w:r>
      <w:r w:rsidR="00C45E80">
        <w:rPr>
          <w:color w:val="000000" w:themeColor="text1"/>
        </w:rPr>
        <w:t xml:space="preserve"> </w:t>
      </w:r>
      <w:r w:rsidR="00C45E80" w:rsidRPr="00C45E80">
        <w:rPr>
          <w:b/>
          <w:bCs/>
          <w:color w:val="000000" w:themeColor="text1"/>
        </w:rPr>
        <w:t>$.</w:t>
      </w:r>
      <w:r w:rsidR="00C45E80">
        <w:rPr>
          <w:b/>
          <w:bCs/>
          <w:color w:val="000000" w:themeColor="text1"/>
        </w:rPr>
        <w:t>075</w:t>
      </w:r>
      <w:r w:rsidRPr="00DF5C0D">
        <w:rPr>
          <w:color w:val="000000" w:themeColor="text1"/>
        </w:rPr>
        <w:t xml:space="preserve"> </w:t>
      </w:r>
      <w:r w:rsidRPr="00C45E80">
        <w:rPr>
          <w:strike/>
          <w:color w:val="000000" w:themeColor="text1"/>
        </w:rPr>
        <w:t>$.060</w:t>
      </w:r>
      <w:r w:rsidRPr="00DF5C0D">
        <w:rPr>
          <w:color w:val="000000" w:themeColor="text1"/>
        </w:rPr>
        <w:t xml:space="preserve"> per hundredweight. </w:t>
      </w:r>
    </w:p>
    <w:p w14:paraId="2A39660E" w14:textId="2A22AF1C" w:rsidR="00134F12" w:rsidRPr="00DF5C0D" w:rsidRDefault="00134F12" w:rsidP="00F32CCF">
      <w:pPr>
        <w:pStyle w:val="NormalWeb"/>
        <w:jc w:val="both"/>
        <w:rPr>
          <w:color w:val="000000" w:themeColor="text1"/>
        </w:rPr>
      </w:pPr>
      <w:r w:rsidRPr="00DF5C0D">
        <w:rPr>
          <w:color w:val="000000" w:themeColor="text1"/>
        </w:rPr>
        <w:t>   (2)  For milk for which the Board has not fixed a minimum wholesale or retail price, received, produced or brought into this Commonwealth during the calendar year preceding the period for which the license is issued, the fee is</w:t>
      </w:r>
      <w:r w:rsidR="00C45E80">
        <w:rPr>
          <w:color w:val="000000" w:themeColor="text1"/>
        </w:rPr>
        <w:t xml:space="preserve"> </w:t>
      </w:r>
      <w:r w:rsidR="00C45E80">
        <w:rPr>
          <w:b/>
          <w:bCs/>
          <w:color w:val="000000" w:themeColor="text1"/>
        </w:rPr>
        <w:t>$.0071</w:t>
      </w:r>
      <w:r w:rsidRPr="00DF5C0D">
        <w:rPr>
          <w:color w:val="000000" w:themeColor="text1"/>
        </w:rPr>
        <w:t xml:space="preserve"> </w:t>
      </w:r>
      <w:r w:rsidRPr="00C45E80">
        <w:rPr>
          <w:strike/>
          <w:color w:val="000000" w:themeColor="text1"/>
        </w:rPr>
        <w:t>$.</w:t>
      </w:r>
      <w:r w:rsidRPr="00C45E80">
        <w:rPr>
          <w:bCs/>
          <w:strike/>
          <w:color w:val="000000" w:themeColor="text1"/>
        </w:rPr>
        <w:t>0064</w:t>
      </w:r>
      <w:r w:rsidRPr="00DF5C0D">
        <w:rPr>
          <w:color w:val="000000" w:themeColor="text1"/>
        </w:rPr>
        <w:t xml:space="preserve"> per hundredweight. </w:t>
      </w:r>
    </w:p>
    <w:p w14:paraId="770CF4A2" w14:textId="365A282D" w:rsidR="00134F12" w:rsidRPr="00DF5C0D" w:rsidRDefault="00134F12" w:rsidP="00F32CCF">
      <w:pPr>
        <w:pStyle w:val="NormalWeb"/>
        <w:jc w:val="both"/>
        <w:rPr>
          <w:color w:val="000000" w:themeColor="text1"/>
        </w:rPr>
      </w:pPr>
      <w:r w:rsidRPr="00DF5C0D">
        <w:rPr>
          <w:color w:val="000000" w:themeColor="text1"/>
        </w:rPr>
        <w:t> (b)  In addition to the fixed fee imposed under §  150.11, a milk dealer that was not licensed for the entire calendar year preceding license application or renewal shall pay a monthly</w:t>
      </w:r>
      <w:r w:rsidR="0093724C" w:rsidRPr="00DF5C0D">
        <w:rPr>
          <w:color w:val="000000" w:themeColor="text1"/>
        </w:rPr>
        <w:t xml:space="preserve"> </w:t>
      </w:r>
      <w:r w:rsidRPr="00DF5C0D">
        <w:rPr>
          <w:color w:val="000000" w:themeColor="text1"/>
        </w:rPr>
        <w:t xml:space="preserve">hundredweight fee as set forth in paragraphs (1) and (2).  Monthly payments shall continue until the milk dealer has been licensed for an entire calendar year and for each month thereafter until the next license year begins. Annual payments shall then commence under subsection (a).  </w:t>
      </w:r>
    </w:p>
    <w:p w14:paraId="4711EAFB" w14:textId="74DD8EE9" w:rsidR="00134F12" w:rsidRPr="00DF5C0D" w:rsidRDefault="00134F12" w:rsidP="00F32CCF">
      <w:pPr>
        <w:pStyle w:val="NormalWeb"/>
        <w:jc w:val="both"/>
        <w:rPr>
          <w:color w:val="000000" w:themeColor="text1"/>
        </w:rPr>
      </w:pPr>
      <w:r w:rsidRPr="00DF5C0D">
        <w:rPr>
          <w:color w:val="000000" w:themeColor="text1"/>
        </w:rPr>
        <w:t>   (1)  For milk for which the Board has fixed a minimum wholesale or retail price, received, produced or brought into this Commonwealth during the preceding month, the fee is</w:t>
      </w:r>
      <w:r w:rsidR="0013691C">
        <w:rPr>
          <w:color w:val="000000" w:themeColor="text1"/>
        </w:rPr>
        <w:t xml:space="preserve"> </w:t>
      </w:r>
      <w:r w:rsidR="0013691C">
        <w:rPr>
          <w:b/>
          <w:bCs/>
          <w:color w:val="000000" w:themeColor="text1"/>
        </w:rPr>
        <w:t>$.075</w:t>
      </w:r>
      <w:r w:rsidRPr="00DF5C0D">
        <w:rPr>
          <w:color w:val="000000" w:themeColor="text1"/>
        </w:rPr>
        <w:t xml:space="preserve"> </w:t>
      </w:r>
      <w:r w:rsidRPr="0013691C">
        <w:rPr>
          <w:strike/>
          <w:color w:val="000000" w:themeColor="text1"/>
        </w:rPr>
        <w:t>$.</w:t>
      </w:r>
      <w:r w:rsidRPr="0013691C">
        <w:rPr>
          <w:bCs/>
          <w:strike/>
          <w:color w:val="000000" w:themeColor="text1"/>
        </w:rPr>
        <w:t>060</w:t>
      </w:r>
      <w:r w:rsidRPr="00DF5C0D">
        <w:rPr>
          <w:color w:val="000000" w:themeColor="text1"/>
        </w:rPr>
        <w:t xml:space="preserve"> per hundredweight. </w:t>
      </w:r>
    </w:p>
    <w:p w14:paraId="15706A0A" w14:textId="0CEC5C04" w:rsidR="00134F12" w:rsidRPr="00DF5C0D" w:rsidRDefault="00134F12" w:rsidP="00F32CCF">
      <w:pPr>
        <w:pStyle w:val="NormalWeb"/>
        <w:jc w:val="both"/>
        <w:rPr>
          <w:color w:val="000000" w:themeColor="text1"/>
        </w:rPr>
      </w:pPr>
      <w:r w:rsidRPr="00DF5C0D">
        <w:rPr>
          <w:color w:val="000000" w:themeColor="text1"/>
        </w:rPr>
        <w:t>   (2)  For milk for which the Board has not fixed a minimum wholesale or retail price, received, produced or brought into this Commonwealth during the preceding month, the fee is</w:t>
      </w:r>
      <w:r w:rsidR="0013691C">
        <w:rPr>
          <w:color w:val="000000" w:themeColor="text1"/>
        </w:rPr>
        <w:t xml:space="preserve"> </w:t>
      </w:r>
      <w:r w:rsidR="0013691C">
        <w:rPr>
          <w:b/>
          <w:bCs/>
          <w:color w:val="000000" w:themeColor="text1"/>
        </w:rPr>
        <w:t>$.0071</w:t>
      </w:r>
      <w:r w:rsidRPr="00DF5C0D">
        <w:rPr>
          <w:color w:val="000000" w:themeColor="text1"/>
        </w:rPr>
        <w:t xml:space="preserve"> </w:t>
      </w:r>
      <w:r w:rsidRPr="0013691C">
        <w:rPr>
          <w:strike/>
          <w:color w:val="000000" w:themeColor="text1"/>
        </w:rPr>
        <w:t>$.</w:t>
      </w:r>
      <w:r w:rsidRPr="0013691C">
        <w:rPr>
          <w:bCs/>
          <w:strike/>
          <w:color w:val="000000" w:themeColor="text1"/>
        </w:rPr>
        <w:t>0064</w:t>
      </w:r>
      <w:r w:rsidRPr="00DF5C0D">
        <w:rPr>
          <w:color w:val="000000" w:themeColor="text1"/>
        </w:rPr>
        <w:t xml:space="preserve"> per hundredweight.</w:t>
      </w:r>
      <w:r w:rsidR="00352207" w:rsidRPr="00DF5C0D">
        <w:rPr>
          <w:color w:val="000000" w:themeColor="text1"/>
        </w:rPr>
        <w:t xml:space="preserve">  </w:t>
      </w:r>
    </w:p>
    <w:p w14:paraId="7F155078" w14:textId="6A504CB6" w:rsidR="00395615" w:rsidRDefault="00395615" w:rsidP="00395615">
      <w:pPr>
        <w:pStyle w:val="NormalWeb"/>
        <w:jc w:val="center"/>
        <w:rPr>
          <w:color w:val="000000" w:themeColor="text1"/>
        </w:rPr>
      </w:pPr>
      <w:r w:rsidRPr="00DF5C0D">
        <w:rPr>
          <w:color w:val="000000" w:themeColor="text1"/>
        </w:rPr>
        <w:t>*****</w:t>
      </w:r>
    </w:p>
    <w:p w14:paraId="259BD702" w14:textId="2BFCEAEE" w:rsidR="00593C6A" w:rsidRDefault="00593C6A">
      <w:pPr>
        <w:rPr>
          <w:rFonts w:eastAsia="Times New Roman" w:cs="Times New Roman"/>
          <w:color w:val="000000" w:themeColor="text1"/>
          <w:szCs w:val="24"/>
        </w:rPr>
      </w:pPr>
      <w:r>
        <w:rPr>
          <w:color w:val="000000" w:themeColor="text1"/>
        </w:rPr>
        <w:br w:type="page"/>
      </w:r>
    </w:p>
    <w:p w14:paraId="20CD748B" w14:textId="77777777" w:rsidR="00593C6A" w:rsidRPr="00DF5C0D" w:rsidRDefault="00593C6A" w:rsidP="00395615">
      <w:pPr>
        <w:pStyle w:val="NormalWeb"/>
        <w:jc w:val="center"/>
        <w:rPr>
          <w:color w:val="000000" w:themeColor="text1"/>
        </w:rPr>
      </w:pPr>
    </w:p>
    <w:bookmarkEnd w:id="1"/>
    <w:p w14:paraId="146669A3" w14:textId="1FDCA315" w:rsidR="008C260B" w:rsidRPr="00DF5C0D" w:rsidRDefault="0093724C" w:rsidP="0093724C">
      <w:pPr>
        <w:pStyle w:val="NormalWeb"/>
        <w:jc w:val="center"/>
        <w:rPr>
          <w:color w:val="000000" w:themeColor="text1"/>
        </w:rPr>
      </w:pPr>
      <w:r w:rsidRPr="00DF5C0D">
        <w:rPr>
          <w:b/>
          <w:bCs/>
          <w:color w:val="000000" w:themeColor="text1"/>
        </w:rPr>
        <w:t>LICENSE FEES OF MILK SUBDEALERS</w:t>
      </w:r>
    </w:p>
    <w:p w14:paraId="502C4760" w14:textId="13A768C0" w:rsidR="008C260B" w:rsidRDefault="008C260B" w:rsidP="008C260B">
      <w:pPr>
        <w:spacing w:before="100" w:beforeAutospacing="1" w:after="100" w:afterAutospacing="1" w:line="240" w:lineRule="auto"/>
        <w:contextualSpacing/>
        <w:rPr>
          <w:rFonts w:eastAsia="Times New Roman" w:cs="Times New Roman"/>
          <w:color w:val="000000" w:themeColor="text1"/>
          <w:szCs w:val="24"/>
        </w:rPr>
      </w:pPr>
      <w:bookmarkStart w:id="2" w:name="150.21."/>
    </w:p>
    <w:p w14:paraId="263DAF85" w14:textId="77777777" w:rsidR="00F178C3" w:rsidRPr="00DF5C0D" w:rsidRDefault="00F178C3" w:rsidP="00F178C3">
      <w:pPr>
        <w:pStyle w:val="NormalWeb"/>
        <w:jc w:val="center"/>
        <w:rPr>
          <w:color w:val="000000" w:themeColor="text1"/>
        </w:rPr>
      </w:pPr>
      <w:r w:rsidRPr="00DF5C0D">
        <w:rPr>
          <w:color w:val="000000" w:themeColor="text1"/>
        </w:rPr>
        <w:t>*****</w:t>
      </w:r>
    </w:p>
    <w:p w14:paraId="00A30773" w14:textId="77777777" w:rsidR="00F178C3" w:rsidRPr="00DF5C0D" w:rsidRDefault="00F178C3" w:rsidP="008C260B">
      <w:pPr>
        <w:spacing w:before="100" w:beforeAutospacing="1" w:after="100" w:afterAutospacing="1" w:line="240" w:lineRule="auto"/>
        <w:contextualSpacing/>
        <w:rPr>
          <w:rFonts w:eastAsia="Times New Roman" w:cs="Times New Roman"/>
          <w:color w:val="000000" w:themeColor="text1"/>
          <w:szCs w:val="24"/>
        </w:rPr>
      </w:pPr>
    </w:p>
    <w:p w14:paraId="4DBAFE46" w14:textId="77777777" w:rsidR="008C260B" w:rsidRPr="00DF5C0D" w:rsidRDefault="008C260B" w:rsidP="008C260B">
      <w:pPr>
        <w:spacing w:before="100" w:beforeAutospacing="1" w:after="100" w:afterAutospacing="1" w:line="240" w:lineRule="auto"/>
        <w:contextualSpacing/>
        <w:outlineLvl w:val="3"/>
        <w:rPr>
          <w:rFonts w:eastAsia="Times New Roman" w:cs="Times New Roman"/>
          <w:b/>
          <w:bCs/>
          <w:color w:val="000000" w:themeColor="text1"/>
          <w:szCs w:val="24"/>
        </w:rPr>
      </w:pPr>
      <w:bookmarkStart w:id="3" w:name="150.22."/>
      <w:bookmarkEnd w:id="2"/>
      <w:r w:rsidRPr="00DF5C0D">
        <w:rPr>
          <w:rFonts w:eastAsia="Times New Roman" w:cs="Times New Roman"/>
          <w:b/>
          <w:bCs/>
          <w:color w:val="000000" w:themeColor="text1"/>
          <w:szCs w:val="24"/>
        </w:rPr>
        <w:t>§ 150.22. Quart-equivalent fee.</w:t>
      </w:r>
    </w:p>
    <w:p w14:paraId="19B99973" w14:textId="77777777" w:rsidR="008C260B" w:rsidRPr="00DF5C0D" w:rsidRDefault="008C260B" w:rsidP="008C260B">
      <w:pPr>
        <w:spacing w:before="100" w:beforeAutospacing="1" w:after="100" w:afterAutospacing="1" w:line="240" w:lineRule="auto"/>
        <w:contextualSpacing/>
        <w:jc w:val="both"/>
        <w:outlineLvl w:val="3"/>
        <w:rPr>
          <w:rFonts w:eastAsia="Times New Roman" w:cs="Times New Roman"/>
          <w:color w:val="000000" w:themeColor="text1"/>
          <w:szCs w:val="24"/>
        </w:rPr>
      </w:pPr>
    </w:p>
    <w:p w14:paraId="00409857" w14:textId="05091D31" w:rsidR="008C260B" w:rsidRDefault="008C260B" w:rsidP="008C260B">
      <w:pPr>
        <w:spacing w:before="100" w:beforeAutospacing="1" w:after="100" w:afterAutospacing="1" w:line="240" w:lineRule="auto"/>
        <w:contextualSpacing/>
        <w:jc w:val="both"/>
        <w:outlineLvl w:val="3"/>
        <w:rPr>
          <w:rFonts w:eastAsia="Times New Roman" w:cs="Times New Roman"/>
          <w:color w:val="000000" w:themeColor="text1"/>
          <w:szCs w:val="24"/>
        </w:rPr>
      </w:pPr>
      <w:r w:rsidRPr="00DF5C0D">
        <w:rPr>
          <w:rFonts w:eastAsia="Times New Roman" w:cs="Times New Roman"/>
          <w:color w:val="000000" w:themeColor="text1"/>
          <w:szCs w:val="24"/>
        </w:rPr>
        <w:t xml:space="preserve">(a)  In addition to the fixed fee imposed under §  150.21(b) (relating to fixed fees), an applicant for annual renewal of a subdealer’s license shall pay an annual quart-equivalent fee calculated by dividing the total quarts of milk </w:t>
      </w:r>
      <w:r w:rsidRPr="00F178C3">
        <w:rPr>
          <w:rFonts w:eastAsia="Times New Roman" w:cs="Times New Roman"/>
          <w:bCs/>
          <w:color w:val="000000" w:themeColor="text1"/>
          <w:szCs w:val="24"/>
        </w:rPr>
        <w:t>sold</w:t>
      </w:r>
      <w:r w:rsidRPr="00DF5C0D">
        <w:rPr>
          <w:rFonts w:eastAsia="Times New Roman" w:cs="Times New Roman"/>
          <w:color w:val="000000" w:themeColor="text1"/>
          <w:szCs w:val="24"/>
        </w:rPr>
        <w:t xml:space="preserve"> during the previous calendar year by the number of months in which the subdealer engaged in business. The Board will assess the fee in accordance with the following schedule: </w:t>
      </w:r>
    </w:p>
    <w:p w14:paraId="49B1915B" w14:textId="3C221E82" w:rsidR="00B730C0" w:rsidRDefault="00B730C0" w:rsidP="008C260B">
      <w:pPr>
        <w:spacing w:before="100" w:beforeAutospacing="1" w:after="100" w:afterAutospacing="1" w:line="240" w:lineRule="auto"/>
        <w:contextualSpacing/>
        <w:jc w:val="both"/>
        <w:outlineLvl w:val="3"/>
        <w:rPr>
          <w:rFonts w:eastAsia="Times New Roman" w:cs="Times New Roman"/>
          <w:color w:val="000000" w:themeColor="text1"/>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28"/>
        <w:gridCol w:w="1188"/>
      </w:tblGrid>
      <w:tr w:rsidR="00B730C0" w:rsidRPr="00DF5C0D" w14:paraId="49A0CA6C" w14:textId="77777777" w:rsidTr="00C8359B">
        <w:trPr>
          <w:tblCellSpacing w:w="15" w:type="dxa"/>
          <w:jc w:val="center"/>
        </w:trPr>
        <w:tc>
          <w:tcPr>
            <w:tcW w:w="0" w:type="auto"/>
            <w:vAlign w:val="center"/>
            <w:hideMark/>
          </w:tcPr>
          <w:p w14:paraId="39999C82" w14:textId="4B7B8011" w:rsidR="00B730C0" w:rsidRPr="00DF5C0D" w:rsidRDefault="00B730C0" w:rsidP="00C8359B">
            <w:pPr>
              <w:spacing w:after="0" w:line="240" w:lineRule="auto"/>
              <w:contextualSpacing/>
              <w:rPr>
                <w:rFonts w:eastAsia="Times New Roman" w:cs="Times New Roman"/>
                <w:color w:val="000000" w:themeColor="text1"/>
                <w:szCs w:val="24"/>
              </w:rPr>
            </w:pPr>
            <w:r w:rsidRPr="00DF5C0D">
              <w:rPr>
                <w:rFonts w:eastAsia="Times New Roman" w:cs="Times New Roman"/>
                <w:i/>
                <w:iCs/>
                <w:color w:val="000000" w:themeColor="text1"/>
                <w:szCs w:val="24"/>
              </w:rPr>
              <w:t xml:space="preserve">Ave. Qts. </w:t>
            </w:r>
            <w:r w:rsidRPr="00B730C0">
              <w:rPr>
                <w:rFonts w:eastAsia="Times New Roman" w:cs="Times New Roman"/>
                <w:bCs/>
                <w:i/>
                <w:iCs/>
                <w:color w:val="000000" w:themeColor="text1"/>
                <w:szCs w:val="24"/>
              </w:rPr>
              <w:t>Sold</w:t>
            </w:r>
            <w:r w:rsidRPr="00DF5C0D">
              <w:rPr>
                <w:rFonts w:eastAsia="Times New Roman" w:cs="Times New Roman"/>
                <w:b/>
                <w:i/>
                <w:iCs/>
                <w:color w:val="000000" w:themeColor="text1"/>
                <w:szCs w:val="24"/>
              </w:rPr>
              <w:t xml:space="preserve"> </w:t>
            </w:r>
            <w:r w:rsidRPr="00DF5C0D">
              <w:rPr>
                <w:rFonts w:eastAsia="Times New Roman" w:cs="Times New Roman"/>
                <w:i/>
                <w:iCs/>
                <w:color w:val="000000" w:themeColor="text1"/>
                <w:szCs w:val="24"/>
              </w:rPr>
              <w:t>Per Month</w:t>
            </w:r>
          </w:p>
        </w:tc>
        <w:tc>
          <w:tcPr>
            <w:tcW w:w="0" w:type="auto"/>
            <w:vAlign w:val="center"/>
            <w:hideMark/>
          </w:tcPr>
          <w:p w14:paraId="55160A95" w14:textId="77777777" w:rsidR="00B730C0" w:rsidRPr="00DF5C0D" w:rsidRDefault="00B730C0" w:rsidP="00C8359B">
            <w:pPr>
              <w:spacing w:after="0" w:line="240" w:lineRule="auto"/>
              <w:contextualSpacing/>
              <w:rPr>
                <w:rFonts w:eastAsia="Times New Roman" w:cs="Times New Roman"/>
                <w:color w:val="000000" w:themeColor="text1"/>
                <w:szCs w:val="24"/>
              </w:rPr>
            </w:pPr>
            <w:r w:rsidRPr="00DF5C0D">
              <w:rPr>
                <w:rFonts w:eastAsia="Times New Roman" w:cs="Times New Roman"/>
                <w:i/>
                <w:iCs/>
                <w:color w:val="000000" w:themeColor="text1"/>
                <w:szCs w:val="24"/>
              </w:rPr>
              <w:t>Annual Fee</w:t>
            </w:r>
          </w:p>
        </w:tc>
      </w:tr>
    </w:tbl>
    <w:p w14:paraId="328CD97D" w14:textId="77777777" w:rsidR="00B730C0" w:rsidRPr="00DF5C0D" w:rsidRDefault="00B730C0" w:rsidP="00B730C0">
      <w:pPr>
        <w:pStyle w:val="NormalWeb"/>
        <w:jc w:val="center"/>
        <w:rPr>
          <w:color w:val="000000" w:themeColor="text1"/>
        </w:rPr>
      </w:pPr>
      <w:r w:rsidRPr="00DF5C0D">
        <w:rPr>
          <w:color w:val="000000" w:themeColor="text1"/>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5"/>
        <w:gridCol w:w="1455"/>
      </w:tblGrid>
      <w:tr w:rsidR="00B730C0" w:rsidRPr="00DF5C0D" w14:paraId="48F8F237" w14:textId="77777777" w:rsidTr="00F9207D">
        <w:trPr>
          <w:tblCellSpacing w:w="15" w:type="dxa"/>
          <w:jc w:val="center"/>
        </w:trPr>
        <w:tc>
          <w:tcPr>
            <w:tcW w:w="0" w:type="auto"/>
            <w:vAlign w:val="center"/>
            <w:hideMark/>
          </w:tcPr>
          <w:p w14:paraId="41E27337" w14:textId="77777777" w:rsidR="00B730C0" w:rsidRPr="00DF5C0D" w:rsidRDefault="00B730C0" w:rsidP="00F9207D">
            <w:pPr>
              <w:spacing w:after="0" w:line="240" w:lineRule="auto"/>
              <w:contextualSpacing/>
              <w:rPr>
                <w:rFonts w:eastAsia="Times New Roman" w:cs="Times New Roman"/>
                <w:color w:val="000000" w:themeColor="text1"/>
                <w:szCs w:val="24"/>
              </w:rPr>
            </w:pPr>
            <w:r w:rsidRPr="00DF5C0D">
              <w:rPr>
                <w:rFonts w:eastAsia="Times New Roman" w:cs="Times New Roman"/>
                <w:color w:val="000000" w:themeColor="text1"/>
                <w:szCs w:val="24"/>
              </w:rPr>
              <w:t>120,000—149,999</w:t>
            </w:r>
          </w:p>
        </w:tc>
        <w:tc>
          <w:tcPr>
            <w:tcW w:w="0" w:type="auto"/>
            <w:vAlign w:val="center"/>
            <w:hideMark/>
          </w:tcPr>
          <w:p w14:paraId="276AD84E" w14:textId="1A8E855F" w:rsidR="00B730C0" w:rsidRPr="00DF5C0D" w:rsidRDefault="00B730C0" w:rsidP="00F9207D">
            <w:pPr>
              <w:spacing w:after="0" w:line="240" w:lineRule="auto"/>
              <w:contextualSpacing/>
              <w:rPr>
                <w:rFonts w:eastAsia="Times New Roman" w:cs="Times New Roman"/>
                <w:color w:val="000000" w:themeColor="text1"/>
                <w:szCs w:val="24"/>
              </w:rPr>
            </w:pPr>
            <w:r>
              <w:rPr>
                <w:rFonts w:eastAsia="Times New Roman" w:cs="Times New Roman"/>
                <w:b/>
                <w:color w:val="000000" w:themeColor="text1"/>
                <w:szCs w:val="24"/>
              </w:rPr>
              <w:t xml:space="preserve">     </w:t>
            </w:r>
            <w:r w:rsidRPr="00DF5C0D">
              <w:rPr>
                <w:rFonts w:eastAsia="Times New Roman" w:cs="Times New Roman"/>
                <w:b/>
                <w:color w:val="000000" w:themeColor="text1"/>
                <w:szCs w:val="24"/>
              </w:rPr>
              <w:t>250</w:t>
            </w:r>
            <w:r w:rsidRPr="00DF5C0D">
              <w:rPr>
                <w:rFonts w:eastAsia="Times New Roman" w:cs="Times New Roman"/>
                <w:color w:val="000000" w:themeColor="text1"/>
                <w:szCs w:val="24"/>
              </w:rPr>
              <w:t xml:space="preserve">      </w:t>
            </w:r>
            <w:r w:rsidRPr="00DF5C0D">
              <w:rPr>
                <w:rFonts w:eastAsia="Times New Roman" w:cs="Times New Roman"/>
                <w:strike/>
                <w:color w:val="000000" w:themeColor="text1"/>
                <w:szCs w:val="24"/>
              </w:rPr>
              <w:t>200</w:t>
            </w:r>
            <w:r w:rsidRPr="00DF5C0D">
              <w:rPr>
                <w:rFonts w:eastAsia="Times New Roman" w:cs="Times New Roman"/>
                <w:color w:val="000000" w:themeColor="text1"/>
                <w:szCs w:val="24"/>
              </w:rPr>
              <w:t xml:space="preserve"> </w:t>
            </w:r>
          </w:p>
        </w:tc>
      </w:tr>
      <w:tr w:rsidR="00B730C0" w:rsidRPr="00DF5C0D" w14:paraId="73FC59BD" w14:textId="77777777" w:rsidTr="00F9207D">
        <w:trPr>
          <w:tblCellSpacing w:w="15" w:type="dxa"/>
          <w:jc w:val="center"/>
        </w:trPr>
        <w:tc>
          <w:tcPr>
            <w:tcW w:w="0" w:type="auto"/>
            <w:vAlign w:val="center"/>
          </w:tcPr>
          <w:p w14:paraId="7555B349" w14:textId="77777777" w:rsidR="00B730C0" w:rsidRPr="00DF5C0D" w:rsidRDefault="00B730C0" w:rsidP="00F9207D">
            <w:pPr>
              <w:spacing w:after="0" w:line="240" w:lineRule="auto"/>
              <w:contextualSpacing/>
              <w:rPr>
                <w:rFonts w:eastAsia="Times New Roman" w:cs="Times New Roman"/>
                <w:color w:val="000000" w:themeColor="text1"/>
                <w:szCs w:val="24"/>
              </w:rPr>
            </w:pPr>
          </w:p>
        </w:tc>
        <w:tc>
          <w:tcPr>
            <w:tcW w:w="0" w:type="auto"/>
            <w:vAlign w:val="center"/>
          </w:tcPr>
          <w:p w14:paraId="73CBFED6" w14:textId="77777777" w:rsidR="00B730C0" w:rsidRPr="00DF5C0D" w:rsidRDefault="00B730C0" w:rsidP="00F9207D">
            <w:pPr>
              <w:spacing w:after="0" w:line="240" w:lineRule="auto"/>
              <w:contextualSpacing/>
              <w:rPr>
                <w:rFonts w:eastAsia="Times New Roman" w:cs="Times New Roman"/>
                <w:b/>
                <w:color w:val="000000" w:themeColor="text1"/>
                <w:szCs w:val="24"/>
              </w:rPr>
            </w:pPr>
          </w:p>
        </w:tc>
      </w:tr>
      <w:bookmarkEnd w:id="3"/>
    </w:tbl>
    <w:p w14:paraId="4D1F528A" w14:textId="753E9B78" w:rsidR="00F45D6D" w:rsidRPr="00DF5C0D" w:rsidRDefault="00F45D6D" w:rsidP="0093724C">
      <w:pPr>
        <w:spacing w:before="100" w:beforeAutospacing="1" w:after="100" w:afterAutospacing="1" w:line="240" w:lineRule="auto"/>
        <w:contextualSpacing/>
        <w:rPr>
          <w:rFonts w:eastAsia="Times New Roman" w:cs="Times New Roman"/>
          <w:color w:val="000000" w:themeColor="text1"/>
          <w:szCs w:val="24"/>
        </w:rPr>
      </w:pPr>
    </w:p>
    <w:p w14:paraId="7DDF3B6F" w14:textId="079AE744" w:rsidR="00F45D6D" w:rsidRPr="00DF5C0D" w:rsidRDefault="00F45D6D" w:rsidP="00F45D6D">
      <w:pPr>
        <w:spacing w:before="100" w:beforeAutospacing="1" w:after="100" w:afterAutospacing="1" w:line="240" w:lineRule="auto"/>
        <w:contextualSpacing/>
        <w:jc w:val="center"/>
        <w:rPr>
          <w:rFonts w:eastAsia="Times New Roman" w:cs="Times New Roman"/>
          <w:color w:val="000000" w:themeColor="text1"/>
          <w:szCs w:val="24"/>
        </w:rPr>
      </w:pPr>
      <w:r w:rsidRPr="00DF5C0D">
        <w:rPr>
          <w:rFonts w:eastAsia="Times New Roman" w:cs="Times New Roman"/>
          <w:color w:val="000000" w:themeColor="text1"/>
          <w:szCs w:val="24"/>
        </w:rPr>
        <w:t>*****</w:t>
      </w:r>
    </w:p>
    <w:p w14:paraId="31D7AC50" w14:textId="77777777" w:rsidR="0093724C" w:rsidRPr="00DF5C0D" w:rsidRDefault="0093724C" w:rsidP="0093724C">
      <w:pPr>
        <w:spacing w:before="100" w:beforeAutospacing="1" w:after="100" w:afterAutospacing="1" w:line="240" w:lineRule="auto"/>
        <w:contextualSpacing/>
        <w:rPr>
          <w:rFonts w:eastAsia="Times New Roman" w:cs="Times New Roman"/>
          <w:color w:val="000000" w:themeColor="text1"/>
          <w:szCs w:val="24"/>
        </w:rPr>
      </w:pPr>
    </w:p>
    <w:sectPr w:rsidR="0093724C" w:rsidRPr="00DF5C0D" w:rsidSect="0035220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CC3"/>
    <w:multiLevelType w:val="hybridMultilevel"/>
    <w:tmpl w:val="50985222"/>
    <w:lvl w:ilvl="0" w:tplc="CFFA41E4">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12"/>
    <w:rsid w:val="00134F12"/>
    <w:rsid w:val="0013691C"/>
    <w:rsid w:val="001F296B"/>
    <w:rsid w:val="00352207"/>
    <w:rsid w:val="00395615"/>
    <w:rsid w:val="00523DA7"/>
    <w:rsid w:val="00593C6A"/>
    <w:rsid w:val="005E1CAC"/>
    <w:rsid w:val="006061FE"/>
    <w:rsid w:val="007C7131"/>
    <w:rsid w:val="008C260B"/>
    <w:rsid w:val="0093724C"/>
    <w:rsid w:val="00A20DF1"/>
    <w:rsid w:val="00AF49F9"/>
    <w:rsid w:val="00B730C0"/>
    <w:rsid w:val="00C271D7"/>
    <w:rsid w:val="00C45E80"/>
    <w:rsid w:val="00C67157"/>
    <w:rsid w:val="00D1483A"/>
    <w:rsid w:val="00DF5C0D"/>
    <w:rsid w:val="00E2505D"/>
    <w:rsid w:val="00F05379"/>
    <w:rsid w:val="00F178C3"/>
    <w:rsid w:val="00F209F2"/>
    <w:rsid w:val="00F32CCF"/>
    <w:rsid w:val="00F4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6603"/>
  <w15:chartTrackingRefBased/>
  <w15:docId w15:val="{5693D3AD-2FD7-46AE-84F4-9713B6C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4F1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4F12"/>
    <w:rPr>
      <w:rFonts w:eastAsia="Times New Roman" w:cs="Times New Roman"/>
      <w:b/>
      <w:bCs/>
      <w:szCs w:val="24"/>
    </w:rPr>
  </w:style>
  <w:style w:type="paragraph" w:styleId="NormalWeb">
    <w:name w:val="Normal (Web)"/>
    <w:basedOn w:val="Normal"/>
    <w:uiPriority w:val="99"/>
    <w:unhideWhenUsed/>
    <w:rsid w:val="00134F1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2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706F2F5BAA1478A78F3D3DA36BA27" ma:contentTypeVersion="0" ma:contentTypeDescription="Create a new document." ma:contentTypeScope="" ma:versionID="bd39e80b6da9ceb7edc79efb2d3a8a5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6DE32-4184-4410-ADCC-5CD6D8A4F931}"/>
</file>

<file path=customXml/itemProps2.xml><?xml version="1.0" encoding="utf-8"?>
<ds:datastoreItem xmlns:ds="http://schemas.openxmlformats.org/officeDocument/2006/customXml" ds:itemID="{DE92E884-CF69-4A26-83BC-91F2A9DA11FF}"/>
</file>

<file path=customXml/itemProps3.xml><?xml version="1.0" encoding="utf-8"?>
<ds:datastoreItem xmlns:ds="http://schemas.openxmlformats.org/officeDocument/2006/customXml" ds:itemID="{3283775D-FABD-4725-BEEC-2A427BEFB1D3}"/>
</file>

<file path=docProps/app.xml><?xml version="1.0" encoding="utf-8"?>
<Properties xmlns="http://schemas.openxmlformats.org/officeDocument/2006/extended-properties" xmlns:vt="http://schemas.openxmlformats.org/officeDocument/2006/docPropsVTypes">
  <Template>Normal</Template>
  <TotalTime>51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Andrew</dc:creator>
  <cp:keywords/>
  <dc:description/>
  <cp:lastModifiedBy>Eberly, Douglas</cp:lastModifiedBy>
  <cp:revision>6</cp:revision>
  <dcterms:created xsi:type="dcterms:W3CDTF">2024-02-22T12:32:00Z</dcterms:created>
  <dcterms:modified xsi:type="dcterms:W3CDTF">2024-03-05T17:18:00Z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0x01010069E706F2F5BAA1478A78F3D3DA36BA27</vt:lpwstr>
  </property>
  <property fmtid="{D5CDD505-2E9C-101B-9397-08002B2CF9AE}" pid="3" name="Order">
    <vt:r8>20700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